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2017 11 vom 29. September 2017</w:t>
      </w:r>
    </w:p>
    <w:p>
      <w:r>
        <w:t>SZ Gerichte, 2017-09-29, DE</w:t>
      </w:r>
    </w:p>
    <w:p>
      <w:r>
        <w:rPr>
          <w:b/>
        </w:rPr>
        <w:t xml:space="preserve">Quelle: </w:t>
      </w:r>
      <w:r>
        <w:t>https://mcp.opencaselaw.ch/entscheid/sz_gerichte_ZK2 2017 11</w:t>
      </w:r>
    </w:p>
    <w:p>
      <w:r>
        <w:t>FR: SZ_GERICHTE ZK2 2017 11 du 29 septembre 2017</w:t>
      </w:r>
    </w:p>
    <w:p>
      <w:r>
        <w:t>IT: SZ_GERICHTE ZK2 2017 11 del 29 settembre 2017</w:t>
      </w:r>
    </w:p>
    <w:p>
      <w:pPr>
        <w:pStyle w:val="Heading2"/>
      </w:pPr>
      <w:r>
        <w:t>Regeste</w:t>
      </w:r>
    </w:p>
    <w:p>
      <w:r>
        <w:t>Forderung aus Arbeitsvertrag | Arbeitsrecht</w:t>
      </w:r>
    </w:p>
    <w:p>
      <w:pPr>
        <w:pStyle w:val="Heading2"/>
      </w:pPr>
      <w:r>
        <w:t>Erwägungen</w:t>
      </w:r>
    </w:p>
    <w:p>
      <w:r>
        <w:rPr>
          <w:b/>
        </w:rPr>
        <w:t>E. 3</w:t>
      </w:r>
    </w:p>
    <w:p>
      <w:r>
        <w:t>Mit einer Eventualbegründung rügt die Beschwerdeführerin verschie- dentlich die Anspruchsberechnung durch die Vorinstanz. a) Zunächst macht die Beschwerdeführerin geltend, für den Monat August gehe die Vorinstanz willkürlich davon aus, dass der durchschnittliche Arbeits- einsatz 7 Stunden 45 Minuten betragen habe. Vielmehr sei aufgrund der wi- dersprüchlichen Parteibehauptungen und der Beweislastverteilung davon auszugehen, dass die Reinigungszeit durchschnittlich 7.5 Stunden betragen habe. Aufgrund der expliziten Bestreitung durch die Beschwerdeführerin kön- ne der Beschwerdegegnerin lediglich die Hälfte der 7.5 Stunden zugerechnet werden (KG-act. 1, Rz. 72 f.). Die Vorinstanz erwog, die Beschwerdegegnerin habe in der Replik eingeräumt, dass die Arbeitstätigkeit in der neuen Woh- nung nur noch acht Stunden betragen habe. In der Parteibefragung habe sie ausgeführt, die Arbeit in der neuen Wohnung habe siebeneinhalb bis acht Stunden gedauert. Die Beschwerdeführerin habe die Höhe der Arbeitszeit nicht grundsätzlich bestritten, sondern lediglich ausgeführt, die Dauer der Rei- nigungsarbeiten sei unterschiedlich lang gewesen. Unter diesen Umständen</w:t>
      </w:r>
    </w:p>
    <w:p>
      <w:r>
        <w:t>Kantonsgericht Schwyz 21 müsse davon ausgegangen werden, dass die Beschwerdegegnerin rund sie- beneinhalb bis acht Stunden gearbeitet habe, sodass von einem durchschnitt- lichen Arbeitseinsatz von sieben Stunden und 45 Minuten auszugehen sei (angefochtenes Urteil, E. 2.1). Zum Nachweis der Dauer der jeweiligen Arbeitseinsätze sind lediglich die Aussagen der Parteien anlässlich der vorinstanzlichen Hauptverhandlung vor- handen. Die Beschwerdegegnerin sagte aus, sie habe immer alleine für je- weils etwa siebeneinhalb bis acht Stunden gearbeitet (Vi-act. D.1, S. 9). Ihr Rechtsvertreter ging von acht Stunden pro Arbeitseinsatz aus (Vi-act. D.2, Rz. 8 und 25). Die Beschwerdeführerin sagte aus, die Beschwerdegegnerin sei jeweils vormittags etwa vier Stunden anwesend gewesen und habe immer mit einer Kollegin gearbeitet (Vi-act. D.1, S. 15). In der Klageantwort befand ihr Rechtsvertreter, falls man zufolge Annahme eines Arbeitsverhältnisses die durchschnittliche Arbeitszeit eruieren wollte, sei von jeweils durchschnittlich 3.75 Stunden auszugehen, während der die Beschwerdegegnerin und ihre Mitarbeiterin tätig gewesen seien (Vi-act. A.II, Rz. 29). Mithin bestritt die Be- schwerdeführerin lediglich, dass die Beschwerdegegnerin alleine während durchschnittlich 7.75 Stunden und auch am Nachmittag arbeitete. Anerkannt ist aber, dass pro Arbeitseinsatz insgesamt 7.5 Stunden (Rechtsschrift) bzw. 8 Stunden (Parteiaussage) gearbeitet wurde. Die Beschwerdeführerin behaup- tete nie, gegen den grundsätzlich bei Reinigungsarbeiten zulässigen Beizug einer Hilfsperson (vgl. Streiff/von Kaenel/Rudolph, a.a.O., N 3 zu Art. 321 OR) opponiert zu haben. Ebenso wenig behauptete die Beschwerdeführerin, mit der angeblichen Hilfsperson einen separaten Arbeitsvertrag abgeschlossen zu haben, sodass sie einen Teil des Lohnes direkt der Hilfsperson hätte zahlen müssen. Die Beschwerdeführerin schuldet der Beschwerdegegnerin somit den gesamten Lohn für durchschnittlich 7.75 Stunden pro Einsatz (vgl. Streiff/von Kaenel/Rudolph, a.a.O., N 3 zu Art. 321 OR; Portmann/Rudolph, Basler Kommentar zum OR, 6. Aufl., Basel 2015, N 1 zu Art. 321 OR). Die Vorinstanz</w:t>
      </w:r>
    </w:p>
    <w:p>
      <w:r>
        <w:t>Kantonsgericht Schwyz 22 legte ihrer Berechnung folglich zu Recht einen Aufwand von 7.75 Stunden pro Arbeitseinsatz zugrunde. b) Sodann macht die Beschwerdeführerin geltend, für den 1. September 2015 bestehe kein Lohnanspruch, weil die Beschwerdegegnerin an diesem Tag gemäss eigenen Angaben abwesend gewesen sei und die Parteien für diesen Fall keine Entschädigung vereinbart hätten. Die entgegenstehende vorinstanzliche Feststellung widerspreche demnach der erstellten Parteiver- einbarung und sei einzig mit Willkür zu erklären (KG-act. 1, Rz. 74). Die Vor- instanz erwog, es könne offen bleiben, ob die Beschwerdegegnerin am 1. September 2015 gearbeitet oder sich krank gemeldet habe. Wenn sie die Arbeit aufgrund einer Arbeitsunfähigkeit nicht ausgeführt habe, so bestehe gestützt auf § 11 Abs. 1 und 2 des Normalarbeitsvertrags des Kantons Schwyz für hauswirtschaftliche Arbeitnehmer eine Lohnfortzahlungspflicht. Damit sei auch für diesen Tag der Lohn geschuldet (angefochtenes Urteil, E. 2.2). Damit steht bereits fest, dass die Vorinstanz weder die An- noch die Abwesenheit der Beschwerdegegnerin am 1. September 2015 feststellte, sondern diesen Punkt offen liess. Ausserdem behauptete die Beschwerde- gegnerin in den erstinstanzlichen Rechtsschriften durchwegs, dass sie am 1. September 2015 gearbeitet habe (Vi-act. A.I, S. 4; Vi-act. D.2, S. 4). An- lässlich der Parteibefragung (Vi-act. D.1) äusserte sich die Beschwerdegegne- rin zu diesem Thema nicht. Sie gab somit, entgegen den Beschwerderügen, nicht an, sie sei an diesem Tag abwesend gewesen. Die vorinstanzlichen Er- wägungen sind somit nicht offensichtlich unrichtig. Schliesslich rügt die Be- schwerdeführerin die Anwendung von § 11 Abs. 1 und 2 des Normalarbeits- vertrages des Kantons Schwyz für hauswirtschaftliche Arbeitnehmer nicht. c) Im Übrigen bemängelt die Beschwerdeführerin die Berechnung der Lohn- und Strafzahlung nicht. In Abweisung der Beschwerde ist das vor- instanzliche Urteil somit zu bestätigen.</w:t>
      </w:r>
    </w:p>
    <w:p>
      <w:r>
        <w:t>Kantonsgericht Schwyz 23</w:t>
      </w:r>
    </w:p>
    <w:p>
      <w:r>
        <w:rPr>
          <w:b/>
        </w:rPr>
        <w:t>E. 4</w:t>
      </w:r>
    </w:p>
    <w:p>
      <w:r>
        <w:t>Zusammenfassend ist die Beschwerde vollumfänglich abzuweisen. Ge- richtskosten werden nicht erhoben (Art. 114 lit. c ZPO). Parteientschädigun- gen werden nach Massgabe des Unterliegens auferlegt (Art. 106 Abs. 1 und 2 ZPO). Ausgangsgemäss hat die Beschwerdeführerin die Beschwerdegegnerin angemessen zu entschädigen. Die Höhe der Entschädigung richtet sich nach dem Gebührentarif für Rechtsanwälte (GebTRA, SRSZ 280.411). Im Be- schwerdeverfahren beläuft sich das Honorar auf Fr. 180.00 bis Fr. 2‘400.00 (§ 12 GebTRA). Der Rechtsvertreter der Beschwerdegegnerin reichte keine Kostennote ein, sodass die Entschädigung ermessensweise (§ 6 Abs. 1 Geb- TRA) nach der durchschnittlichen Schwierigkeit der vorliegenden Streitsache und dem geschätzten Arbeitsaufwand (§ 2 Abs. 1 GebTRA), insbesondere für die zwanzigseitige Beschwerdeantwort, auf Fr. 2‘000.00 (inkl. Auslagen und</w:t>
      </w:r>
    </w:p>
    <w:p>
      <w:r>
        <w:rPr>
          <w:b/>
        </w:rPr>
        <w:t>E. 8</w:t>
      </w:r>
    </w:p>
    <w:p>
      <w:r>
        <w:t>% MWST) festzulegen ist;-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